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Taotlus nõuete saamiseks ristumiskoha ehitamiseks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Lugupeetud, Transpordiamet!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Seoses ehitusloa taotlemisega katastriüksusel 31701:001:1599, mis asub riigiteede nr 11240 Tõdva-Hageri tee km 7,43–7,563 ja nr 11245 Kiisa-Kohila tee km 0,03–0,147 kaitsevööndis, palume esitada nõuded ristumiskoha ehitamiseks.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Ehitusloa aluseks on eelprojekt „Kauplus Grossi Toidukaubad“ (peaprojekteerija Moodul Projekt OÜ, töö nr 2411), mis tugineb Kohila Vallavalitsuse 01.04.2024 korraldusega nr 2-2/80 kehtestatud Põhjakodu maaüksuse detailplaneeringule.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Vastavalt Transpordiameti saadetud märkusele on ristumiskoha projekteerimine vajalik ehitusloa elluviimiseks ning tagamaks ohutu juurdepääs riigiteelt ehitusalale. Palume edastada nõuded ristumiskoha ehitamiseks, et saaksime koostada vajaliku projekti ja esitada selle kooskõlastamiseks.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Loodame, et saame vajalikud juhised lähiajal ning oleme valmis vajadusel lisainfot pakkuma.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Lugupidamisega,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Kertu Olu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Juhatuse liige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AS OG Elektra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